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УСТАНОВА ЗА ОДРАСЛЕ И СТАРИЈЕ "ГВОЗДЕН ЈОВАНЧИЋЕВИЋ" ВЕЛИКИ ПОПОВАЦ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101592013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Млавска 28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12310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Велики Поповац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23.02.2022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272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 о додели Уговора, понуђачу  здравствена Установа Апотека Пожаревац.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УСТАНОВА ЗА ОДРАСЛЕ И СТАРИЈЕ "ГВОЗДЕН ЈОВАНЧИЋЕВИЋ" ВЕЛИКИ ПОПОВАЦ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192/2022-1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лекова за потребе корисника Установе у Великом Поповцу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Ф02-0003510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33600000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Набавка медицинског и санитетског материјала за потребе корисника Установе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352.000,00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СИНОФАРМ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101718592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КОСТЕ НАЂА, 31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 (Звездара)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11160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334.656,00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Вредност уговора (са ПДВ):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393.624,70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Једини понуђач са прихватљивом понуђеном ценом.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лекова за потребе корисника Установе у Великом Поповцу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192/2022-1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181/1, 07.02.2022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2.916.666,00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33600000-Фармацеутски производи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лекова је потребна за кориснике Установе у Великом Поповцу.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Ф02-0003510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21.02.2022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Драгана  Поповић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Стевић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Мирела Стевић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медицинског и санитетског материјала за потребе корисника Установе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352.000,00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21.02.2022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21.02.2022 11:00:39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медицинског и санитетског материјала за потребе корисника Установе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СИНОФАРМ ДОО БЕОГРАД, КОСТЕ НАЂА, 31, 11160,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17.2.2022. 11:49:29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Набавка медицинског и санитетског материјала за потребе корисника Установе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334656.00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393624.70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Набавка медицинског и санитетског материјала за потребе корисника Установе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334656.00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393624.70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медицинског и санитетског материјала за потребе корисника Установе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334.656,00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393.624,70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медицинског и санитетског материјала за потребе корисника Установе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334.656,00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Једини понуђач са прихватљивом понуђеном ценом.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  <w:w w:val="100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  <w:w w:val="100"/>
        </w:rPr>
        <w:t>Понуђач је доставио прихватљиву понуду.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